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5695" w14:textId="77777777" w:rsidR="00BF0CEF" w:rsidRPr="006D49C4" w:rsidRDefault="00BF0CEF" w:rsidP="00BF0CEF">
      <w:pPr>
        <w:spacing w:after="0"/>
        <w:rPr>
          <w:b/>
          <w:bCs/>
          <w:sz w:val="28"/>
          <w:szCs w:val="28"/>
          <w:u w:val="single"/>
        </w:rPr>
      </w:pPr>
      <w:r w:rsidRPr="006D49C4">
        <w:rPr>
          <w:b/>
          <w:bCs/>
          <w:sz w:val="28"/>
          <w:szCs w:val="28"/>
          <w:u w:val="single"/>
        </w:rPr>
        <w:t>168 BEECROFT ROAD, CHELTENHAM</w:t>
      </w:r>
      <w:r>
        <w:rPr>
          <w:b/>
          <w:bCs/>
          <w:sz w:val="28"/>
          <w:szCs w:val="28"/>
          <w:u w:val="single"/>
        </w:rPr>
        <w:t xml:space="preserve"> (“Montford” or “Montfort”)</w:t>
      </w:r>
    </w:p>
    <w:p w14:paraId="707861C6" w14:textId="77777777" w:rsidR="00BF0CEF" w:rsidRDefault="00BF0CEF" w:rsidP="00BF0CEF">
      <w:pPr>
        <w:spacing w:after="0"/>
        <w:rPr>
          <w:b/>
          <w:bCs/>
          <w:sz w:val="24"/>
          <w:szCs w:val="24"/>
        </w:rPr>
      </w:pPr>
    </w:p>
    <w:p w14:paraId="554BEC5A" w14:textId="77777777" w:rsidR="00BF0CEF" w:rsidRDefault="00BF0CEF" w:rsidP="00BF0CEF">
      <w:pPr>
        <w:spacing w:after="0"/>
        <w:rPr>
          <w:b/>
          <w:bCs/>
          <w:sz w:val="24"/>
          <w:szCs w:val="24"/>
        </w:rPr>
      </w:pPr>
      <w:r w:rsidRPr="00920AD9">
        <w:rPr>
          <w:b/>
          <w:bCs/>
          <w:noProof/>
          <w:sz w:val="24"/>
          <w:szCs w:val="24"/>
        </w:rPr>
        <w:drawing>
          <wp:inline distT="0" distB="0" distL="0" distR="0" wp14:anchorId="0FE482C9" wp14:editId="4C7A114A">
            <wp:extent cx="4344006" cy="2448267"/>
            <wp:effectExtent l="0" t="0" r="0" b="9525"/>
            <wp:docPr id="114340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00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7299C" w14:textId="26F93C92" w:rsidR="00BF0CEF" w:rsidRPr="00D32799" w:rsidRDefault="00D32799" w:rsidP="00BF0CEF">
      <w:pPr>
        <w:spacing w:after="0"/>
        <w:rPr>
          <w:sz w:val="24"/>
          <w:szCs w:val="24"/>
        </w:rPr>
      </w:pPr>
      <w:r w:rsidRPr="00D32799">
        <w:rPr>
          <w:sz w:val="24"/>
          <w:szCs w:val="24"/>
        </w:rPr>
        <w:t>Lot CP SP 71348</w:t>
      </w:r>
    </w:p>
    <w:p w14:paraId="77EF3642" w14:textId="72760E02" w:rsidR="00D32799" w:rsidRPr="00D32799" w:rsidRDefault="00D32799" w:rsidP="00BF0CEF">
      <w:pPr>
        <w:spacing w:after="0"/>
        <w:rPr>
          <w:sz w:val="24"/>
          <w:szCs w:val="24"/>
        </w:rPr>
      </w:pPr>
      <w:r w:rsidRPr="00D32799">
        <w:rPr>
          <w:sz w:val="24"/>
          <w:szCs w:val="24"/>
        </w:rPr>
        <w:t>Lots 1 to 6 SP 71348</w:t>
      </w:r>
    </w:p>
    <w:p w14:paraId="010CB93E" w14:textId="77777777" w:rsidR="00D32799" w:rsidRPr="00D32799" w:rsidRDefault="00D32799" w:rsidP="00BF0CEF">
      <w:pPr>
        <w:spacing w:after="0"/>
        <w:rPr>
          <w:sz w:val="24"/>
          <w:szCs w:val="24"/>
        </w:rPr>
      </w:pPr>
    </w:p>
    <w:p w14:paraId="79C43B9B" w14:textId="0008723D" w:rsidR="00BF0CEF" w:rsidRDefault="00BF0CEF" w:rsidP="00BF0C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Hornsby</w:t>
      </w:r>
      <w:r w:rsidR="00B71CFB">
        <w:rPr>
          <w:b/>
          <w:bCs/>
          <w:sz w:val="24"/>
          <w:szCs w:val="24"/>
        </w:rPr>
        <w:t xml:space="preserve"> Shire</w:t>
      </w:r>
      <w:r>
        <w:rPr>
          <w:b/>
          <w:bCs/>
          <w:sz w:val="24"/>
          <w:szCs w:val="24"/>
        </w:rPr>
        <w:t xml:space="preserve"> Council details</w:t>
      </w:r>
    </w:p>
    <w:p w14:paraId="782FA5C3" w14:textId="77777777" w:rsidR="00BF0CEF" w:rsidRDefault="00BF0CEF" w:rsidP="00BF0C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56F71ECD" w14:textId="77777777" w:rsidR="00BF0CEF" w:rsidRDefault="00BF0CEF" w:rsidP="00BF0CEF">
      <w:pPr>
        <w:spacing w:after="0"/>
        <w:rPr>
          <w:b/>
          <w:bCs/>
          <w:sz w:val="24"/>
          <w:szCs w:val="24"/>
        </w:rPr>
      </w:pPr>
    </w:p>
    <w:p w14:paraId="2E21F2EE" w14:textId="77777777" w:rsidR="00D40811" w:rsidRDefault="00D40811" w:rsidP="00D40811">
      <w:pPr>
        <w:spacing w:after="0"/>
        <w:rPr>
          <w:color w:val="000000"/>
          <w:sz w:val="24"/>
          <w:szCs w:val="24"/>
        </w:rPr>
      </w:pPr>
      <w:bookmarkStart w:id="0" w:name="_Hlk148125046"/>
      <w:r>
        <w:rPr>
          <w:color w:val="000000"/>
          <w:sz w:val="24"/>
          <w:szCs w:val="24"/>
        </w:rPr>
        <w:t>Part of Cheltenham Park Estate Subdivision 1901</w:t>
      </w:r>
    </w:p>
    <w:bookmarkEnd w:id="0"/>
    <w:p w14:paraId="4D9A28F4" w14:textId="77777777" w:rsidR="00D40811" w:rsidRDefault="00D40811" w:rsidP="00BF0CEF">
      <w:pPr>
        <w:spacing w:after="0"/>
        <w:rPr>
          <w:b/>
          <w:bCs/>
          <w:sz w:val="24"/>
          <w:szCs w:val="24"/>
        </w:rPr>
      </w:pPr>
    </w:p>
    <w:p w14:paraId="5DF97CE4" w14:textId="77777777" w:rsidR="000660E6" w:rsidRDefault="000660E6" w:rsidP="000660E6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1901 Cheltenham Park Estate Subdivision created lots for sale along the Beecroft Road, Mason Avenue, Kent Road (later Cheltenham Road) and Boronia Avenue.</w:t>
      </w:r>
    </w:p>
    <w:p w14:paraId="4739256C" w14:textId="198E6A24" w:rsidR="000660E6" w:rsidRDefault="000660E6" w:rsidP="000660E6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5FE48CC6" wp14:editId="1482D8E3">
            <wp:extent cx="2047875" cy="3247254"/>
            <wp:effectExtent l="0" t="0" r="0" b="0"/>
            <wp:docPr id="157014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40" cy="32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4F34" w14:textId="77777777" w:rsidR="000660E6" w:rsidRDefault="000660E6" w:rsidP="00BF0CEF">
      <w:pPr>
        <w:spacing w:after="0"/>
        <w:rPr>
          <w:b/>
          <w:bCs/>
          <w:sz w:val="24"/>
          <w:szCs w:val="24"/>
        </w:rPr>
      </w:pPr>
    </w:p>
    <w:p w14:paraId="6FD54D83" w14:textId="3E600607" w:rsidR="002869AF" w:rsidRDefault="002869AF" w:rsidP="002869AF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The Land for Sale 1906–Beecroft and Cheltenham Subdivision shows the residence of Mr. Nutty.</w:t>
      </w:r>
    </w:p>
    <w:p w14:paraId="650B9A91" w14:textId="02367259" w:rsidR="002869AF" w:rsidRDefault="002869AF" w:rsidP="002869A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1DD086" wp14:editId="44D032B7">
            <wp:extent cx="5334000" cy="2428875"/>
            <wp:effectExtent l="0" t="0" r="0" b="9525"/>
            <wp:docPr id="1877668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8BBE" w14:textId="77777777" w:rsidR="00A57643" w:rsidRDefault="00A57643" w:rsidP="00A57643">
      <w:pPr>
        <w:spacing w:after="120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bookmarkStart w:id="1" w:name="_Hlk145112428"/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(Mason Avenue is not shown although it did exist in 1901)</w:t>
      </w:r>
    </w:p>
    <w:p w14:paraId="61658D24" w14:textId="62C0287C" w:rsidR="00BF0CEF" w:rsidRDefault="00122949" w:rsidP="00D5484F">
      <w:pPr>
        <w:spacing w:after="120"/>
        <w:rPr>
          <w:sz w:val="24"/>
          <w:szCs w:val="24"/>
        </w:rPr>
      </w:pPr>
      <w:r w:rsidRPr="00C27102">
        <w:rPr>
          <w:sz w:val="24"/>
          <w:szCs w:val="24"/>
        </w:rPr>
        <w:t>The Mount Pleasant Estate – Cheltenham (1</w:t>
      </w:r>
      <w:r w:rsidRPr="00C27102">
        <w:rPr>
          <w:sz w:val="24"/>
          <w:szCs w:val="24"/>
          <w:vertAlign w:val="superscript"/>
        </w:rPr>
        <w:t>st</w:t>
      </w:r>
      <w:r w:rsidRPr="00C27102">
        <w:rPr>
          <w:sz w:val="24"/>
          <w:szCs w:val="24"/>
        </w:rPr>
        <w:t xml:space="preserve"> Subdivision) 1908 shows</w:t>
      </w:r>
      <w:r>
        <w:rPr>
          <w:sz w:val="24"/>
          <w:szCs w:val="24"/>
        </w:rPr>
        <w:t xml:space="preserve"> the house being occupied by</w:t>
      </w:r>
      <w:r w:rsidRPr="00326539">
        <w:rPr>
          <w:sz w:val="24"/>
          <w:szCs w:val="24"/>
        </w:rPr>
        <w:t xml:space="preserve"> Mr.</w:t>
      </w:r>
      <w:bookmarkEnd w:id="1"/>
      <w:r>
        <w:rPr>
          <w:sz w:val="24"/>
          <w:szCs w:val="24"/>
        </w:rPr>
        <w:t xml:space="preserve"> W.</w:t>
      </w:r>
      <w:r w:rsidR="00BF0CEF" w:rsidRPr="00BF0CEF">
        <w:rPr>
          <w:sz w:val="24"/>
          <w:szCs w:val="24"/>
        </w:rPr>
        <w:t xml:space="preserve"> Nutty</w:t>
      </w:r>
      <w:r>
        <w:rPr>
          <w:sz w:val="24"/>
          <w:szCs w:val="24"/>
        </w:rPr>
        <w:t>.</w:t>
      </w:r>
    </w:p>
    <w:p w14:paraId="6FE5D5F3" w14:textId="3B8EA205" w:rsidR="00F93561" w:rsidRDefault="00F93561" w:rsidP="00F93561">
      <w:pPr>
        <w:spacing w:after="1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7752EF3" wp14:editId="01E4A4B0">
            <wp:extent cx="4400550" cy="1752600"/>
            <wp:effectExtent l="0" t="0" r="0" b="0"/>
            <wp:docPr id="1392767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E426" w14:textId="27A7104B" w:rsidR="0044726C" w:rsidRDefault="00BF0CEF" w:rsidP="00AF2A0B">
      <w:pPr>
        <w:spacing w:after="120"/>
        <w:rPr>
          <w:sz w:val="24"/>
          <w:szCs w:val="24"/>
        </w:rPr>
      </w:pPr>
      <w:r w:rsidRPr="00BF0CEF">
        <w:rPr>
          <w:sz w:val="24"/>
          <w:szCs w:val="24"/>
        </w:rPr>
        <w:t>William Nutty died in 1913 at the home of his sister-in-law, 22 The Avenue, Strathfield. His wife, Jennie Nutty</w:t>
      </w:r>
      <w:r>
        <w:rPr>
          <w:sz w:val="24"/>
          <w:szCs w:val="24"/>
        </w:rPr>
        <w:t>, continued to live at the Cheltenham home until 1920, then returned to live with her sister in Strathfield, where she died in 1924.</w:t>
      </w:r>
    </w:p>
    <w:p w14:paraId="4D15BC94" w14:textId="3D22738C" w:rsidR="00270F1E" w:rsidRPr="00270F1E" w:rsidRDefault="00270F1E" w:rsidP="00270F1E">
      <w:pPr>
        <w:spacing w:after="0"/>
        <w:rPr>
          <w:sz w:val="24"/>
          <w:szCs w:val="24"/>
          <w:highlight w:val="yellow"/>
        </w:rPr>
      </w:pPr>
      <w:r w:rsidRPr="00270F1E">
        <w:rPr>
          <w:sz w:val="24"/>
          <w:szCs w:val="24"/>
          <w:highlight w:val="yellow"/>
        </w:rPr>
        <w:t xml:space="preserve">Sands Directory 1915 Richard Humphries; 1916 William Vincent; 1917, 1919-1920 Mrs. J. Nutty; </w:t>
      </w:r>
      <w:r>
        <w:rPr>
          <w:sz w:val="24"/>
          <w:szCs w:val="24"/>
          <w:highlight w:val="yellow"/>
        </w:rPr>
        <w:t xml:space="preserve">1921-1923 William Moss (Moses); </w:t>
      </w:r>
      <w:r w:rsidR="00E0183F">
        <w:rPr>
          <w:sz w:val="24"/>
          <w:szCs w:val="24"/>
          <w:highlight w:val="yellow"/>
        </w:rPr>
        <w:t xml:space="preserve">1924 A. Robinson; </w:t>
      </w:r>
      <w:r w:rsidRPr="00270F1E">
        <w:rPr>
          <w:sz w:val="24"/>
          <w:szCs w:val="24"/>
          <w:highlight w:val="yellow"/>
        </w:rPr>
        <w:t>1925 G. Harris “Montfort”; 1926-1932/3 C. Blumer “Montfort”</w:t>
      </w:r>
    </w:p>
    <w:p w14:paraId="22D581D8" w14:textId="4C9DC9DA" w:rsidR="00270F1E" w:rsidRDefault="00270F1E" w:rsidP="00270F1E">
      <w:pPr>
        <w:spacing w:after="0"/>
        <w:rPr>
          <w:sz w:val="24"/>
          <w:szCs w:val="24"/>
        </w:rPr>
      </w:pPr>
      <w:r w:rsidRPr="00270F1E">
        <w:rPr>
          <w:sz w:val="24"/>
          <w:szCs w:val="24"/>
          <w:highlight w:val="yellow"/>
        </w:rPr>
        <w:t xml:space="preserve">Electoral Roll 1933: Charles Blumer </w:t>
      </w:r>
      <w:proofErr w:type="gramStart"/>
      <w:r w:rsidRPr="00270F1E">
        <w:rPr>
          <w:sz w:val="24"/>
          <w:szCs w:val="24"/>
          <w:highlight w:val="yellow"/>
        </w:rPr>
        <w:t>No. ?</w:t>
      </w:r>
      <w:proofErr w:type="gramEnd"/>
    </w:p>
    <w:p w14:paraId="58FF088B" w14:textId="77777777" w:rsidR="00270F1E" w:rsidRDefault="00270F1E" w:rsidP="00270F1E">
      <w:pPr>
        <w:spacing w:after="0"/>
        <w:rPr>
          <w:sz w:val="24"/>
          <w:szCs w:val="24"/>
        </w:rPr>
      </w:pPr>
    </w:p>
    <w:p w14:paraId="37E08BD9" w14:textId="48BA51AC" w:rsidR="00BF0CEF" w:rsidRDefault="00BF0CEF" w:rsidP="00AF2A0B">
      <w:pPr>
        <w:spacing w:after="12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From 1920 William Moses occupied the Cheltenham property “Montford,” where he died in 1923, aged 78 years. He </w:t>
      </w:r>
      <w:r w:rsidRPr="000C795B">
        <w:rPr>
          <w:rFonts w:eastAsia="Times New Roman" w:cstheme="minorHAnsi"/>
          <w:color w:val="000000"/>
          <w:sz w:val="24"/>
          <w:szCs w:val="24"/>
          <w:lang w:eastAsia="en-AU"/>
        </w:rPr>
        <w:t>was for many years in business in Windsor as a grocer and ironmonger together with a bakery, and carried on business as the Hawkesbury Stores at the corner of George and Bridge streets, still known as Moses' corner.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 </w:t>
      </w:r>
      <w:r w:rsidRPr="000C795B">
        <w:rPr>
          <w:rFonts w:eastAsia="Times New Roman" w:cstheme="minorHAnsi"/>
          <w:color w:val="000000"/>
          <w:sz w:val="24"/>
          <w:szCs w:val="24"/>
          <w:lang w:eastAsia="en-AU"/>
        </w:rPr>
        <w:t>was associated with the early history of Windsor, and while in business here was closely identified with the rise and progress of the Hawkesbury district. He was a Justice of the Peace,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C795B">
        <w:rPr>
          <w:rFonts w:eastAsia="Times New Roman" w:cstheme="minorHAnsi"/>
          <w:color w:val="000000"/>
          <w:sz w:val="24"/>
          <w:szCs w:val="24"/>
          <w:lang w:eastAsia="en-AU"/>
        </w:rPr>
        <w:t>and took a prominent interest in nearly all the public institutions of the town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3DE312C6" w14:textId="21FF6667" w:rsidR="00BF0CEF" w:rsidRDefault="00BF0CEF" w:rsidP="00BF0CEF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The property, now referred to as “Montfort,” was auctioned in February 1923</w:t>
      </w:r>
      <w:r w:rsidR="00AF2A0B">
        <w:rPr>
          <w:rFonts w:eastAsia="Times New Roman" w:cstheme="minorHAnsi"/>
          <w:color w:val="000000"/>
          <w:sz w:val="24"/>
          <w:szCs w:val="24"/>
          <w:lang w:eastAsia="en-AU"/>
        </w:rPr>
        <w:t>, described as follows:</w:t>
      </w:r>
    </w:p>
    <w:p w14:paraId="207D7E2D" w14:textId="77777777" w:rsidR="00AF2A0B" w:rsidRPr="00AF2A0B" w:rsidRDefault="00AF2A0B" w:rsidP="00AF2A0B">
      <w:pPr>
        <w:spacing w:after="0"/>
        <w:rPr>
          <w:rFonts w:cstheme="minorHAnsi"/>
          <w:i/>
          <w:iCs/>
          <w:color w:val="000000"/>
          <w:sz w:val="24"/>
          <w:szCs w:val="24"/>
        </w:rPr>
      </w:pPr>
      <w:r w:rsidRPr="00AF2A0B">
        <w:rPr>
          <w:rFonts w:cstheme="minorHAnsi"/>
          <w:i/>
          <w:iCs/>
          <w:color w:val="000000"/>
          <w:sz w:val="24"/>
          <w:szCs w:val="24"/>
        </w:rPr>
        <w:t xml:space="preserve">DETACHED BRICK COTTAGE, iron roof, tiled front and return </w:t>
      </w:r>
      <w:proofErr w:type="spellStart"/>
      <w:r w:rsidRPr="00AF2A0B">
        <w:rPr>
          <w:rFonts w:cstheme="minorHAnsi"/>
          <w:i/>
          <w:iCs/>
          <w:color w:val="000000"/>
          <w:sz w:val="24"/>
          <w:szCs w:val="24"/>
        </w:rPr>
        <w:t>verandah</w:t>
      </w:r>
      <w:proofErr w:type="spellEnd"/>
      <w:r w:rsidRPr="00AF2A0B">
        <w:rPr>
          <w:rFonts w:cstheme="minorHAnsi"/>
          <w:i/>
          <w:iCs/>
          <w:color w:val="000000"/>
          <w:sz w:val="24"/>
          <w:szCs w:val="24"/>
        </w:rPr>
        <w:t>, hall, dining-room, 4 bedrooms, breakfast-room, bathroom, kitchen, and pantry, fernery.</w:t>
      </w:r>
    </w:p>
    <w:p w14:paraId="095E59C5" w14:textId="2EDC13C5" w:rsidR="00AF2A0B" w:rsidRPr="00AF2A0B" w:rsidRDefault="00AF2A0B" w:rsidP="00AF2A0B">
      <w:pPr>
        <w:spacing w:after="240"/>
        <w:rPr>
          <w:rFonts w:cstheme="minorHAnsi"/>
          <w:i/>
          <w:iCs/>
          <w:color w:val="000000"/>
          <w:sz w:val="24"/>
          <w:szCs w:val="24"/>
          <w:vertAlign w:val="superscript"/>
        </w:rPr>
      </w:pPr>
      <w:r w:rsidRPr="00AF2A0B">
        <w:rPr>
          <w:rFonts w:cstheme="minorHAnsi"/>
          <w:i/>
          <w:iCs/>
          <w:color w:val="000000"/>
          <w:sz w:val="24"/>
          <w:szCs w:val="24"/>
        </w:rPr>
        <w:t>Land 77 feet to Beecroft-road by 282ft 10in. portion of which is laid out in tennis court. Lawns and gardens, 40 fruit trees, fowl houses and runs.</w:t>
      </w:r>
      <w:r>
        <w:rPr>
          <w:rFonts w:cstheme="minorHAnsi"/>
          <w:i/>
          <w:iCs/>
          <w:color w:val="000000"/>
          <w:sz w:val="24"/>
          <w:szCs w:val="24"/>
          <w:vertAlign w:val="superscript"/>
        </w:rPr>
        <w:t>1</w:t>
      </w:r>
    </w:p>
    <w:p w14:paraId="7F958154" w14:textId="0390DE2B" w:rsidR="00AF2A0B" w:rsidRDefault="00AF2A0B" w:rsidP="00AF2A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late 1923 to 1925 “Montfort” was the home of Gordon Harris and family.</w:t>
      </w:r>
    </w:p>
    <w:p w14:paraId="29868282" w14:textId="11C851A8" w:rsidR="00AF2A0B" w:rsidRDefault="00AF2A0B" w:rsidP="00BF0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It then came into the possession of Charles Blumer,</w:t>
      </w:r>
      <w:r w:rsidR="00E167F8">
        <w:rPr>
          <w:sz w:val="24"/>
          <w:szCs w:val="24"/>
        </w:rPr>
        <w:t xml:space="preserve"> headmaster, and</w:t>
      </w:r>
      <w:r>
        <w:rPr>
          <w:sz w:val="24"/>
          <w:szCs w:val="24"/>
        </w:rPr>
        <w:t xml:space="preserve"> brother of George Blumer who lived at 164 Beecroft-road, Cheltenham.</w:t>
      </w:r>
    </w:p>
    <w:p w14:paraId="7FCB4EEB" w14:textId="6942E00B" w:rsidR="00E167F8" w:rsidRPr="00F44AC2" w:rsidRDefault="00E167F8" w:rsidP="00E167F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Charles Blumer, headmaster of </w:t>
      </w:r>
      <w:r w:rsidRPr="0039306B">
        <w:rPr>
          <w:rFonts w:eastAsia="Times New Roman" w:cstheme="minorHAnsi"/>
          <w:color w:val="000000"/>
          <w:sz w:val="24"/>
          <w:szCs w:val="24"/>
          <w:lang w:eastAsia="en-AU"/>
        </w:rPr>
        <w:t>Petersham Intermediate High School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since 192</w:t>
      </w:r>
      <w:r w:rsidR="00F60A6B">
        <w:rPr>
          <w:rFonts w:eastAsia="Times New Roman" w:cstheme="minorHAnsi"/>
          <w:color w:val="000000"/>
          <w:sz w:val="24"/>
          <w:szCs w:val="24"/>
          <w:lang w:eastAsia="en-A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>
        <w:rPr>
          <w:sz w:val="24"/>
          <w:szCs w:val="24"/>
        </w:rPr>
        <w:t xml:space="preserve"> retired in 1930 after 49 years of service. He was previously headmaster </w:t>
      </w:r>
      <w:r w:rsidRPr="0039306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of the Goulburn High School for 11 years. Mr. Blumer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 w:rsidRPr="0039306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youngest of three brothers, each of whom gave nearly 50 years' educational service; his brothers being ex-Senior Inspector Luke Blumer, of Hunter's Hill, and Inspector George Blumer, M.A., of Cheltenham</w:t>
      </w:r>
      <w:r w:rsidRPr="00520179">
        <w:rPr>
          <w:rFonts w:eastAsia="Times New Roman" w:cstheme="minorHAnsi"/>
          <w:color w:val="000000"/>
          <w:sz w:val="24"/>
          <w:szCs w:val="24"/>
          <w:highlight w:val="lightGray"/>
          <w:lang w:eastAsia="en-AU"/>
        </w:rPr>
        <w:t>.</w:t>
      </w:r>
    </w:p>
    <w:p w14:paraId="0E1D37E0" w14:textId="268AF7ED" w:rsidR="00E167F8" w:rsidRPr="00E167F8" w:rsidRDefault="00E167F8" w:rsidP="00E167F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‘Himself a brilliant</w:t>
      </w:r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scholar, the vet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>ran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aster</w:t>
      </w:r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enjoyed the dual distin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ct</w:t>
      </w:r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>ion of being one of the most popular high school princ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pals in New South Wales </w:t>
      </w:r>
      <w:proofErr w:type="gramStart"/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>and also</w:t>
      </w:r>
      <w:proofErr w:type="gramEnd"/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one of the most efficient senior officers in the Education Department. There are few secondary school teachers who were not familiar with the tall, gaunt, sharp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723780">
        <w:rPr>
          <w:rFonts w:eastAsia="Times New Roman" w:cstheme="minorHAnsi"/>
          <w:color w:val="000000"/>
          <w:sz w:val="24"/>
          <w:szCs w:val="24"/>
          <w:lang w:eastAsia="en-AU"/>
        </w:rPr>
        <w:t>featured figure, whose very presence suggested the typical schoolmaster.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2</w:t>
      </w:r>
    </w:p>
    <w:p w14:paraId="4311F71C" w14:textId="359F93DE" w:rsidR="00AF2A0B" w:rsidRDefault="00AF2A0B" w:rsidP="00E167F8">
      <w:pPr>
        <w:spacing w:after="0" w:line="240" w:lineRule="auto"/>
        <w:rPr>
          <w:sz w:val="24"/>
          <w:szCs w:val="24"/>
        </w:rPr>
      </w:pPr>
    </w:p>
    <w:p w14:paraId="1E53D410" w14:textId="1669F23F" w:rsidR="008A264B" w:rsidRDefault="008A264B" w:rsidP="008A264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1933 Electoral Roll lists Charles Blumer (teacher), Esther Elizabeth Blumer - Beecroft-road, Cheltenham</w:t>
      </w:r>
    </w:p>
    <w:p w14:paraId="6BBDA686" w14:textId="77777777" w:rsidR="008A264B" w:rsidRPr="008A4F08" w:rsidRDefault="008A264B" w:rsidP="00F60A6B">
      <w:pPr>
        <w:spacing w:after="120"/>
        <w:rPr>
          <w:rFonts w:cstheme="minorHAnsi"/>
          <w:i/>
          <w:iCs/>
          <w:sz w:val="24"/>
          <w:szCs w:val="24"/>
        </w:rPr>
      </w:pPr>
      <w:r w:rsidRPr="008A4F08">
        <w:rPr>
          <w:rFonts w:cstheme="minorHAnsi"/>
          <w:i/>
          <w:iCs/>
          <w:sz w:val="24"/>
          <w:szCs w:val="24"/>
        </w:rPr>
        <w:t>[Charles Blumer married Esther E. Howland in 1888, at Sydney]</w:t>
      </w:r>
    </w:p>
    <w:p w14:paraId="1C184C7F" w14:textId="443168B2" w:rsidR="00AF2A0B" w:rsidRPr="00F60A6B" w:rsidRDefault="008A264B" w:rsidP="00F60A6B">
      <w:pPr>
        <w:spacing w:after="120"/>
        <w:rPr>
          <w:rFonts w:cstheme="minorHAnsi"/>
          <w:sz w:val="24"/>
          <w:szCs w:val="24"/>
        </w:rPr>
      </w:pPr>
      <w:r w:rsidRPr="00F60A6B">
        <w:rPr>
          <w:rFonts w:cstheme="minorHAnsi"/>
          <w:sz w:val="24"/>
          <w:szCs w:val="24"/>
        </w:rPr>
        <w:t>In 1940 Esther Elizabeth Blumer died at the Cheltenham home, aged 75 years.</w:t>
      </w:r>
    </w:p>
    <w:p w14:paraId="5E101A0B" w14:textId="4883042A" w:rsidR="00AF2A0B" w:rsidRDefault="00F60A6B" w:rsidP="00BF0C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1943 the house was occupied by William Edwin Lego, musician, and his wife Fanny Elizabeth</w:t>
      </w:r>
      <w:r w:rsidR="00FF445C">
        <w:rPr>
          <w:rFonts w:cstheme="minorHAnsi"/>
          <w:sz w:val="24"/>
          <w:szCs w:val="24"/>
        </w:rPr>
        <w:t>, who had married in 1925</w:t>
      </w:r>
      <w:r>
        <w:rPr>
          <w:rFonts w:cstheme="minorHAnsi"/>
          <w:sz w:val="24"/>
          <w:szCs w:val="24"/>
        </w:rPr>
        <w:t>.</w:t>
      </w:r>
    </w:p>
    <w:p w14:paraId="56C2FD26" w14:textId="77777777" w:rsidR="00F60A6B" w:rsidRPr="00F60A6B" w:rsidRDefault="00F60A6B" w:rsidP="00BF0CEF">
      <w:pPr>
        <w:spacing w:after="0"/>
        <w:rPr>
          <w:rFonts w:cstheme="minorHAnsi"/>
          <w:sz w:val="24"/>
          <w:szCs w:val="24"/>
        </w:rPr>
      </w:pPr>
    </w:p>
    <w:p w14:paraId="02D51B13" w14:textId="10157927" w:rsidR="00F60A6B" w:rsidRPr="00F60A6B" w:rsidRDefault="008A264B" w:rsidP="00F60A6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60A6B">
        <w:rPr>
          <w:rFonts w:asciiTheme="minorHAnsi" w:hAnsiTheme="minorHAnsi" w:cstheme="minorHAnsi"/>
        </w:rPr>
        <w:t>Charles Blumer died in 1954</w:t>
      </w:r>
      <w:r w:rsidR="00F60A6B" w:rsidRPr="00F60A6B">
        <w:rPr>
          <w:rFonts w:asciiTheme="minorHAnsi" w:hAnsiTheme="minorHAnsi" w:cstheme="minorHAnsi"/>
        </w:rPr>
        <w:t xml:space="preserve"> </w:t>
      </w:r>
      <w:r w:rsidR="00F60A6B" w:rsidRPr="00F60A6B">
        <w:rPr>
          <w:rFonts w:asciiTheme="minorHAnsi" w:hAnsiTheme="minorHAnsi" w:cstheme="minorHAnsi"/>
          <w:color w:val="000000"/>
        </w:rPr>
        <w:t xml:space="preserve">at his son’s residence, St Giles Rectory, Greenwich, aged 88 years. He was survived by four sons, Eric, Rex, </w:t>
      </w:r>
      <w:proofErr w:type="gramStart"/>
      <w:r w:rsidR="00F60A6B" w:rsidRPr="00F60A6B">
        <w:rPr>
          <w:rFonts w:asciiTheme="minorHAnsi" w:hAnsiTheme="minorHAnsi" w:cstheme="minorHAnsi"/>
          <w:color w:val="000000"/>
        </w:rPr>
        <w:t>Cecil</w:t>
      </w:r>
      <w:proofErr w:type="gramEnd"/>
      <w:r w:rsidR="00F60A6B" w:rsidRPr="00F60A6B">
        <w:rPr>
          <w:rFonts w:asciiTheme="minorHAnsi" w:hAnsiTheme="minorHAnsi" w:cstheme="minorHAnsi"/>
          <w:color w:val="000000"/>
        </w:rPr>
        <w:t xml:space="preserve"> and Paul, and one brother, John, of Penshurst.</w:t>
      </w:r>
    </w:p>
    <w:p w14:paraId="447C52E9" w14:textId="77777777" w:rsidR="00F60A6B" w:rsidRPr="00F60A6B" w:rsidRDefault="00F60A6B" w:rsidP="00F60A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0708C70" w14:textId="77777777" w:rsidR="008A264B" w:rsidRDefault="008A264B" w:rsidP="00BF0CEF">
      <w:pPr>
        <w:spacing w:after="0"/>
        <w:rPr>
          <w:sz w:val="24"/>
          <w:szCs w:val="24"/>
        </w:rPr>
      </w:pPr>
    </w:p>
    <w:p w14:paraId="74073660" w14:textId="77777777" w:rsidR="00AF2A0B" w:rsidRPr="00413A72" w:rsidRDefault="00AF2A0B" w:rsidP="00AF2A0B">
      <w:pPr>
        <w:spacing w:after="0"/>
        <w:rPr>
          <w:b/>
          <w:bCs/>
          <w:sz w:val="24"/>
          <w:szCs w:val="24"/>
        </w:rPr>
      </w:pPr>
      <w:bookmarkStart w:id="2" w:name="_Hlk141821099"/>
      <w:r w:rsidRPr="00413A72">
        <w:rPr>
          <w:b/>
          <w:bCs/>
          <w:sz w:val="24"/>
          <w:szCs w:val="24"/>
        </w:rPr>
        <w:t>Bibliography:</w:t>
      </w:r>
    </w:p>
    <w:p w14:paraId="53BDF9F5" w14:textId="065F7E39" w:rsidR="00AF2A0B" w:rsidRDefault="00AF2A0B" w:rsidP="00AF2A0B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3</w:t>
      </w:r>
      <w:r w:rsidRPr="00AF2A0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February 1923</w:t>
      </w:r>
    </w:p>
    <w:p w14:paraId="4B8F1D50" w14:textId="5D7840D3" w:rsidR="00E167F8" w:rsidRDefault="00E167F8" w:rsidP="00AF2A0B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Goulburn Evening Penny Post, 29</w:t>
      </w:r>
      <w:r w:rsidRPr="00E167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1930</w:t>
      </w:r>
    </w:p>
    <w:p w14:paraId="0336C392" w14:textId="77777777" w:rsidR="00E167F8" w:rsidRPr="00E167F8" w:rsidRDefault="00E167F8" w:rsidP="00AF2A0B">
      <w:pPr>
        <w:spacing w:after="0"/>
        <w:rPr>
          <w:sz w:val="24"/>
          <w:szCs w:val="24"/>
        </w:rPr>
      </w:pPr>
    </w:p>
    <w:p w14:paraId="2299DDF7" w14:textId="77777777" w:rsidR="00AF2A0B" w:rsidRDefault="00AF2A0B" w:rsidP="00AF2A0B">
      <w:pPr>
        <w:spacing w:after="0"/>
        <w:rPr>
          <w:b/>
          <w:bCs/>
          <w:sz w:val="24"/>
          <w:szCs w:val="24"/>
        </w:rPr>
      </w:pPr>
      <w:bookmarkStart w:id="3" w:name="_Hlk142068877"/>
      <w:r>
        <w:rPr>
          <w:b/>
          <w:bCs/>
          <w:sz w:val="24"/>
          <w:szCs w:val="24"/>
        </w:rPr>
        <w:t>Resources available (varies):</w:t>
      </w:r>
    </w:p>
    <w:p w14:paraId="03E51DBB" w14:textId="77777777" w:rsidR="00AF2A0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807"/>
      <w:bookmarkStart w:id="5" w:name="_Hlk142068346"/>
      <w:r>
        <w:rPr>
          <w:sz w:val="24"/>
          <w:szCs w:val="24"/>
        </w:rPr>
        <w:t xml:space="preserve">Sands Directories 1858-1933 City of Sydney </w:t>
      </w:r>
      <w:hyperlink r:id="rId11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7B24FFA" w14:textId="77777777" w:rsidR="00AF2A0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2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EB2D068" w14:textId="77777777" w:rsidR="00AF2A0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3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CF21487" w14:textId="77777777" w:rsidR="00AF2A0B" w:rsidRPr="00EF10D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4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E0A445A" w14:textId="77777777" w:rsidR="00AF2A0B" w:rsidRPr="00EF10D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5" w:history="1">
        <w:r>
          <w:rPr>
            <w:rStyle w:val="Hyperlink"/>
          </w:rPr>
          <w:t>Heritage | Hornsby Shire Council (nsw.gov.au)</w:t>
        </w:r>
      </w:hyperlink>
    </w:p>
    <w:p w14:paraId="2AED0B36" w14:textId="77777777" w:rsidR="00AF2A0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6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3"/>
      <w:bookmarkEnd w:id="4"/>
      <w:r>
        <w:rPr>
          <w:sz w:val="24"/>
          <w:szCs w:val="24"/>
        </w:rPr>
        <w:t xml:space="preserve"> (from 2005)</w:t>
      </w:r>
    </w:p>
    <w:p w14:paraId="62D3DA47" w14:textId="77777777" w:rsidR="00AF2A0B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469B074" w14:textId="77777777" w:rsidR="00AF2A0B" w:rsidRPr="005456A1" w:rsidRDefault="00AF2A0B" w:rsidP="00AF2A0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6" w:history="1">
        <w:r>
          <w:rPr>
            <w:rStyle w:val="Hyperlink"/>
          </w:rPr>
          <w:t>Home | Australian War Memorial (awm.gov.au)</w:t>
        </w:r>
      </w:hyperlink>
    </w:p>
    <w:bookmarkEnd w:id="2"/>
    <w:bookmarkEnd w:id="5"/>
    <w:bookmarkEnd w:id="6"/>
    <w:p w14:paraId="15A34A1B" w14:textId="77777777" w:rsidR="00AF2A0B" w:rsidRDefault="00AF2A0B" w:rsidP="00AF2A0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912DF24" w14:textId="77777777" w:rsidR="00AF2A0B" w:rsidRPr="00BF0CEF" w:rsidRDefault="00AF2A0B" w:rsidP="00BF0CEF">
      <w:pPr>
        <w:spacing w:after="0"/>
        <w:rPr>
          <w:sz w:val="24"/>
          <w:szCs w:val="24"/>
        </w:rPr>
      </w:pPr>
    </w:p>
    <w:sectPr w:rsidR="00AF2A0B" w:rsidRPr="00BF0CEF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D7B9" w14:textId="77777777" w:rsidR="009E5BE6" w:rsidRDefault="009E5BE6" w:rsidP="00FF445C">
      <w:pPr>
        <w:spacing w:after="0" w:line="240" w:lineRule="auto"/>
      </w:pPr>
      <w:r>
        <w:separator/>
      </w:r>
    </w:p>
  </w:endnote>
  <w:endnote w:type="continuationSeparator" w:id="0">
    <w:p w14:paraId="34547CE6" w14:textId="77777777" w:rsidR="009E5BE6" w:rsidRDefault="009E5BE6" w:rsidP="00FF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875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91D03" w14:textId="61B26C1B" w:rsidR="00FF445C" w:rsidRDefault="00FF4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3CDB3" w14:textId="77777777" w:rsidR="00FF445C" w:rsidRDefault="00FF4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4537" w14:textId="77777777" w:rsidR="009E5BE6" w:rsidRDefault="009E5BE6" w:rsidP="00FF445C">
      <w:pPr>
        <w:spacing w:after="0" w:line="240" w:lineRule="auto"/>
      </w:pPr>
      <w:r>
        <w:separator/>
      </w:r>
    </w:p>
  </w:footnote>
  <w:footnote w:type="continuationSeparator" w:id="0">
    <w:p w14:paraId="07A8E7BF" w14:textId="77777777" w:rsidR="009E5BE6" w:rsidRDefault="009E5BE6" w:rsidP="00FF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858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83"/>
    <w:rsid w:val="00014172"/>
    <w:rsid w:val="000335CC"/>
    <w:rsid w:val="000660E6"/>
    <w:rsid w:val="000A7B1E"/>
    <w:rsid w:val="00122949"/>
    <w:rsid w:val="00141037"/>
    <w:rsid w:val="00270F1E"/>
    <w:rsid w:val="002869AF"/>
    <w:rsid w:val="002A7545"/>
    <w:rsid w:val="0044726C"/>
    <w:rsid w:val="00463274"/>
    <w:rsid w:val="004E507B"/>
    <w:rsid w:val="00787283"/>
    <w:rsid w:val="007C389E"/>
    <w:rsid w:val="008074AF"/>
    <w:rsid w:val="00825DA5"/>
    <w:rsid w:val="00841559"/>
    <w:rsid w:val="008A264B"/>
    <w:rsid w:val="009E5BE6"/>
    <w:rsid w:val="00A414C8"/>
    <w:rsid w:val="00A57643"/>
    <w:rsid w:val="00A95584"/>
    <w:rsid w:val="00AB3E5E"/>
    <w:rsid w:val="00AF2A0B"/>
    <w:rsid w:val="00B71CFB"/>
    <w:rsid w:val="00BF0CEF"/>
    <w:rsid w:val="00D32799"/>
    <w:rsid w:val="00D40811"/>
    <w:rsid w:val="00D5484F"/>
    <w:rsid w:val="00E0183F"/>
    <w:rsid w:val="00E167F8"/>
    <w:rsid w:val="00E307EB"/>
    <w:rsid w:val="00E957D3"/>
    <w:rsid w:val="00F22C51"/>
    <w:rsid w:val="00F60A6B"/>
    <w:rsid w:val="00F93561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2D89"/>
  <w15:chartTrackingRefBased/>
  <w15:docId w15:val="{EA4DA0A0-8E39-4FFD-BC4C-4BE14A4C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A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2A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F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5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cestry.com.a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ove.nla.gov.au/search/advanced/category/newspape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wm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s.cityofsydney.nsw.gov.au/nodes/view/4950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rnsby.nsw.gov.au/property/build/heritag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sw.gov.au/family-and-relationships/family-histo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16</cp:revision>
  <dcterms:created xsi:type="dcterms:W3CDTF">2023-08-05T12:20:00Z</dcterms:created>
  <dcterms:modified xsi:type="dcterms:W3CDTF">2023-10-17T02:15:00Z</dcterms:modified>
</cp:coreProperties>
</file>